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F86962" w:rsidRDefault="00B44103" w:rsidP="00F86962">
      <w:pPr>
        <w:pStyle w:val="BodyText"/>
        <w:bidi/>
        <w:spacing w:after="0" w:line="276" w:lineRule="auto"/>
        <w:ind w:left="254" w:right="426"/>
        <w:jc w:val="center"/>
        <w:rPr>
          <w:color w:val="7030A0"/>
          <w:sz w:val="24"/>
          <w:szCs w:val="24"/>
        </w:rPr>
      </w:pPr>
      <w:r w:rsidRPr="00F86962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 xml:space="preserve">قسمت </w:t>
      </w:r>
      <w:r w:rsidRPr="00F86962">
        <w:rPr>
          <w:rFonts w:cs="B Nazanin" w:hint="cs"/>
          <w:b/>
          <w:bCs/>
          <w:color w:val="7030A0"/>
          <w:sz w:val="24"/>
          <w:szCs w:val="24"/>
          <w:rtl/>
          <w:lang w:bidi="fa-IR"/>
        </w:rPr>
        <w:t>هجدهم " چگونگی فراهم کردن فرصت های رشد برای کارکنان و طراحی مسیرهای پیشرفت شغلی "</w: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center"/>
        <w:rPr>
          <w:rFonts w:cs="B Nazanin"/>
          <w:sz w:val="24"/>
          <w:szCs w:val="24"/>
          <w:rtl/>
          <w:lang w:bidi="fa-IR"/>
        </w:rPr>
      </w:pPr>
      <w:r w:rsidRPr="00F86962">
        <w:rPr>
          <w:rFonts w:cs="B Nazanin"/>
          <w:noProof/>
          <w:sz w:val="24"/>
          <w:szCs w:val="24"/>
          <w:rtl/>
        </w:rPr>
        <w:drawing>
          <wp:inline distT="0" distB="0" distL="0" distR="0" wp14:anchorId="37D87A0F" wp14:editId="06CF64EC">
            <wp:extent cx="4895850" cy="1502905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ارزیابی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424" cy="15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62" w:rsidRPr="00F86962" w:rsidRDefault="00F86962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</w:pPr>
    </w:p>
    <w:p w:rsidR="00E1540E" w:rsidRPr="00F86962" w:rsidRDefault="00B44103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</w:pPr>
      <w:r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سوال : </w:t>
      </w:r>
      <w:r w:rsidR="00E1540E"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اغلب کارکنانم جوان اند و جویای رشد و پیشرفت</w:t>
      </w:r>
      <w:r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. </w:t>
      </w:r>
      <w:r w:rsidR="00E1540E"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آن ها برای رشد و پیشرفت صبور هم نیستند</w:t>
      </w:r>
      <w:r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. </w:t>
      </w:r>
      <w:r w:rsidR="00E1540E"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بعضی از آن ها شرکت قبلی را چند ماه بعد از شروع به کار با این دلیل و بهانه که جای رشد و پیشرفت نداشت ترک کرده اند</w:t>
      </w:r>
      <w:r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. </w:t>
      </w:r>
      <w:r w:rsidR="00E1540E"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در این مورد که من هم گرفتار مشکل مشابهی شوم نگرانم</w:t>
      </w:r>
      <w:r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. </w:t>
      </w:r>
      <w:r w:rsidR="00E1540E" w:rsidRPr="00F86962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منظور این کارکنان از رشد و پیشرفت چیست ؟ وقتی تعداد مشاغل مدیریتی محدود است چگونه می توانم برای همه آن ها فرصت رشد و پیشرفت فراهم کنم ؟</w:t>
      </w:r>
    </w:p>
    <w:p w:rsidR="00F86962" w:rsidRPr="00F86962" w:rsidRDefault="00F86962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833C0B" w:themeColor="accent2" w:themeShade="80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همان گونه که در دوران کودکی و نوجوانی بلافاصله پس از اتمام پایه تحصیلی احساس بزرگ بودن و مهم بودن می گردیم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در سنین بزرگسالی نیز نیازمند بالا رفتن و پیشرفت هستیم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پر واضح است که بالا رفتن از پله های ترقی در سازمان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یعنی نائل شدن به مسئولیت ها و موقعیت های مدیریتی صرفا نیاز تعدادی از کارکنان به پیشرفت را تامین می کند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بنابراین توصیه مهم این می باشد که فرصت های رشد و پیشرفت این چنینی را از کارکنان تان دریغ نکنید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سیاست درون زایی یعنی همه یا اغلب پست ها و مسئولیت های مدیریتی از درون سازمان و با ارتقای کارکنان شایسته تکمیل گردد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به کارکنان تان برای اینکه به مشاغل و رده های مدیریتی دست پیدا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فرصت برابر بدهید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با آن ها منصفانه برخورد کنید و انتصاب ها و ارتقاها را به شایستگی کارکنان متصل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اما در کنار این تدبیر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از سایر تدابیری که می توانند به کارکنان احساس رشد و پیشرفت بدهند هم استفاده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 w:hint="cs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از نظر کارکنان جوان پیشرفت چه معنایی دارد و آن ها چه وقت و در چه شرایطی احساس میکنند در حال پیشرفت اند یا موانعی بر سر راه پیشرفت آن ها قرار دارد؟</w:t>
      </w:r>
    </w:p>
    <w:p w:rsidR="00F86962" w:rsidRPr="00F86962" w:rsidRDefault="00F86962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numPr>
          <w:ilvl w:val="0"/>
          <w:numId w:val="35"/>
        </w:numPr>
        <w:bidi/>
        <w:spacing w:after="0" w:line="276" w:lineRule="auto"/>
        <w:ind w:left="254" w:right="426" w:firstLine="0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طراحی نردبان های ترقی </w: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در کنار نردبان ترقی مدیریتی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نردبان های ترقی دیگری هم طراحی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اگر بتوانید مسیرهای پیشرفت شغلی موازی و چندگانه داشته باشید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کسانی که مدیر هم نمی شوند هم احساس پیشرفت و رشد را تجربه می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البته لازمه موفقیت این سیاست آن است که نظام پرداخت حقوق و مزایا و پاداش سازمان شما هم بر مبنای شایستگی و عملکرد باشد و فقط به پست و شغل افراد گره نخورده باشد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F86962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نظامی برای این کار داشته باشید که یک کارشناس فنی و متخصص در صورت احراز شایستگی هایش و عملکرد مطلوب و رضایت بخش همتراز افراد شایسته که مدیر و رئیس هستند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دریافتی داشته باشند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F86962" w:rsidRPr="00F86962" w:rsidRDefault="00F86962">
      <w:pPr>
        <w:spacing w:after="0" w:line="240" w:lineRule="auto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/>
          <w:color w:val="000000" w:themeColor="text1"/>
          <w:sz w:val="24"/>
          <w:szCs w:val="24"/>
          <w:rtl/>
          <w:lang w:bidi="fa-IR"/>
        </w:rPr>
        <w:br w:type="page"/>
      </w:r>
    </w:p>
    <w:tbl>
      <w:tblPr>
        <w:tblStyle w:val="TableGrid1"/>
        <w:tblpPr w:leftFromText="180" w:rightFromText="180" w:vertAnchor="text" w:horzAnchor="page" w:tblpX="6748" w:tblpY="2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1134"/>
      </w:tblGrid>
      <w:tr w:rsidR="00F86962" w:rsidRPr="00F86962" w:rsidTr="00F86962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مسئول تیم  کارشناسی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86962" w:rsidRPr="00F86962" w:rsidTr="00F86962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134" w:type="dxa"/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86962" w:rsidRPr="00F86962" w:rsidTr="00F86962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34" w:type="dxa"/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86962" w:rsidRPr="00F86962" w:rsidTr="00F86962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دستیار کارشناس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2023" w:tblpY="-103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2127"/>
      </w:tblGrid>
      <w:tr w:rsidR="00F86962" w:rsidRPr="00F86962" w:rsidTr="00F86962">
        <w:trPr>
          <w:trHeight w:val="567"/>
        </w:trPr>
        <w:tc>
          <w:tcPr>
            <w:tcW w:w="992" w:type="dxa"/>
            <w:tcBorders>
              <w:top w:val="nil"/>
            </w:tcBorders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معاون</w:t>
            </w:r>
          </w:p>
        </w:tc>
      </w:tr>
      <w:tr w:rsidR="00F86962" w:rsidRPr="00F86962" w:rsidTr="00F86962">
        <w:trPr>
          <w:trHeight w:val="567"/>
        </w:trPr>
        <w:tc>
          <w:tcPr>
            <w:tcW w:w="992" w:type="dxa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مدیر</w:t>
            </w:r>
          </w:p>
        </w:tc>
      </w:tr>
      <w:tr w:rsidR="00F86962" w:rsidRPr="00F86962" w:rsidTr="00F86962">
        <w:trPr>
          <w:trHeight w:val="567"/>
        </w:trPr>
        <w:tc>
          <w:tcPr>
            <w:tcW w:w="992" w:type="dxa"/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</w:t>
            </w:r>
          </w:p>
        </w:tc>
      </w:tr>
      <w:tr w:rsidR="00F86962" w:rsidRPr="00F86962" w:rsidTr="00F86962">
        <w:trPr>
          <w:trHeight w:val="567"/>
        </w:trPr>
        <w:tc>
          <w:tcPr>
            <w:tcW w:w="992" w:type="dxa"/>
            <w:tcBorders>
              <w:bottom w:val="nil"/>
            </w:tcBorders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F86962" w:rsidRPr="00F86962" w:rsidRDefault="00F86962" w:rsidP="00F86962">
            <w:pPr>
              <w:tabs>
                <w:tab w:val="left" w:pos="7035"/>
              </w:tabs>
              <w:bidi/>
              <w:spacing w:after="0" w:line="276" w:lineRule="auto"/>
              <w:ind w:left="254" w:right="426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869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سرپرست</w:t>
            </w:r>
          </w:p>
        </w:tc>
      </w:tr>
    </w:tbl>
    <w:p w:rsidR="00E1540E" w:rsidRPr="00F86962" w:rsidRDefault="00F86962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728C" wp14:editId="31BA4345">
                <wp:simplePos x="0" y="0"/>
                <wp:positionH relativeFrom="margin">
                  <wp:posOffset>3178810</wp:posOffset>
                </wp:positionH>
                <wp:positionV relativeFrom="paragraph">
                  <wp:posOffset>-84455</wp:posOffset>
                </wp:positionV>
                <wp:extent cx="266700" cy="1447800"/>
                <wp:effectExtent l="19050" t="19050" r="38100" b="1905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6" o:spid="_x0000_s1026" type="#_x0000_t68" style="position:absolute;margin-left:250.3pt;margin-top:-6.65pt;width:2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" adj="1989" fillcolor="windowText" strokecolor="#41719c" strokeweight="1pt">
                <w10:wrap anchorx="margin"/>
              </v:shape>
            </w:pict>
          </mc:Fallback>
        </mc:AlternateContent>
      </w: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tabs>
          <w:tab w:val="left" w:pos="7035"/>
        </w:tabs>
        <w:bidi/>
        <w:spacing w:after="0" w:line="276" w:lineRule="auto"/>
        <w:ind w:left="254" w:right="426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bidi/>
        <w:spacing w:after="0" w:line="276" w:lineRule="auto"/>
        <w:ind w:left="254" w:right="426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bidi/>
        <w:spacing w:after="0" w:line="276" w:lineRule="auto"/>
        <w:ind w:left="254" w:right="426"/>
        <w:rPr>
          <w:rFonts w:cs="B Nazanin" w:hint="cs"/>
          <w:color w:val="000000" w:themeColor="text1"/>
          <w:sz w:val="24"/>
          <w:szCs w:val="24"/>
          <w:rtl/>
          <w:lang w:bidi="fa-IR"/>
        </w:rPr>
      </w:pPr>
    </w:p>
    <w:p w:rsidR="00C23F85" w:rsidRPr="00F86962" w:rsidRDefault="00C23F85" w:rsidP="00F86962">
      <w:pPr>
        <w:bidi/>
        <w:spacing w:after="0" w:line="276" w:lineRule="auto"/>
        <w:ind w:left="254" w:right="426"/>
        <w:rPr>
          <w:rFonts w:cs="B Nazanin" w:hint="cs"/>
          <w:color w:val="000000" w:themeColor="text1"/>
          <w:sz w:val="24"/>
          <w:szCs w:val="24"/>
          <w:rtl/>
          <w:lang w:bidi="fa-IR"/>
        </w:rPr>
      </w:pPr>
    </w:p>
    <w:p w:rsidR="00E1540E" w:rsidRPr="00F86962" w:rsidRDefault="00E1540E" w:rsidP="00F86962">
      <w:pPr>
        <w:numPr>
          <w:ilvl w:val="0"/>
          <w:numId w:val="35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کنار گزینه پیشنهادی اول که اصلی ترین راه حل به نظر می رشد راه حل های زیر نیز قابل توصیه هستند</w:t>
      </w:r>
      <w:r w:rsidR="00B44103"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انتخاب نوع مزایا از سبد دریافتی :</w:t>
      </w:r>
    </w:p>
    <w:p w:rsidR="00E1540E" w:rsidRDefault="00E1540E" w:rsidP="00F86962">
      <w:pPr>
        <w:bidi/>
        <w:spacing w:after="0" w:line="276" w:lineRule="auto"/>
        <w:ind w:left="254" w:right="426"/>
        <w:jc w:val="lowKashida"/>
        <w:rPr>
          <w:rFonts w:cs="B Nazanin" w:hint="cs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به کارکنان اجازه دهید بخشی از مزایا و پاداش های خود را از سبدی که شما طراحی کرده اید انتخاب کنند و در این مورد آزادی عمل داشته باشند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برای مثال یکی از شرکت های خودرو سازی کشور به کارکنانش که استحقاق دریافت پاداش دارند اجازه داد از بین گزینه های بورس تحصیلی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هزینه اعزام به کنفرانس های تخصصی بین المللی و امثال ان انتخاب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کنترل نتیجه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کارکنان را به عضویت گروه های کار خود گردان در آورید و به آن ها و گروهشان اختیار و آزادی عمل بیشتری بدهید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وقتی کارکنان را کمتر کنترل می کنید یا به جای روش انجام کار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نتیجه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حاصل نهایی کارشان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را کنترل می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احساس </w:t>
      </w: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رشد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می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یکی از وجوه مشاغل مدیریتی آن است که مدیران کمتر کنترل می شوند و کنترل برای آنها بیشتر کنترل نتیجه است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توسعه شغلی و غنی سازی شغلی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مشاغل کارکنان را غنی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توسعه شغلی و غنی سازی شغلی دو تکنیک شناخته شده جهت افزایش رضایت و تامین فرصت های رشد و پیشرفت برای کارکنان است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توسعه شغلی :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افزایش وظایف جدید به وظایف فعلی کارمندان در همان سطح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غنی سازی شغلی :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افزایش وظایف  و مسئولیت ها و اختیارات کارمندان در سطحی بالاتر و مهم تر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در نتیجه این فرایند کارکنان و مشاغل آن ها از یکنواختی رهانیده می شوند و احساس تنوع و پیشرفت را به آن ها انتقال می دهد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فرصت ابراز وجود و خود نمائی در جلسات مهم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کارمندان خود را با افراد مهم و صاحب نفوذی در درون  و بیرون سازمان مرتبط کنید تا ان ها از این طریق فرصت خودنمائی و ارتقای بیشتری بدست آورند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می توانید برای کارکنان شایسته خود این فرصت را فراهم کنید که در جلسات با افراد مهم و موثر و صاحب نفوذ حضور داشته باشند و این فرصت را تجربه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مشورت با کارکنان در تصمیم گیری:</w:t>
      </w:r>
    </w:p>
    <w:p w:rsidR="00E1540E" w:rsidRDefault="00E1540E" w:rsidP="00F86962">
      <w:pPr>
        <w:bidi/>
        <w:spacing w:after="0" w:line="276" w:lineRule="auto"/>
        <w:ind w:left="254" w:right="426"/>
        <w:jc w:val="lowKashida"/>
        <w:rPr>
          <w:rFonts w:cs="B Nazanin" w:hint="cs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کارمندان خود را به عضویت کمیته های برنامه ریزی شرکت درآورید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عضویت در این کمیته ها و مشارکت در تصمیم گیری ها یعنی دستیابی به اطلاعات بیشتر در عرصه های وسیع تر و مهم تر و فرصت دیده شدن و مورد توجه قرار گرفتن و احساس اهمیت کردن می باشد که نشانه های باز رشد و پیشرفت است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F86962" w:rsidRDefault="00F86962">
      <w:pPr>
        <w:spacing w:after="0" w:line="240" w:lineRule="auto"/>
        <w:rPr>
          <w:rFonts w:cs="B Nazanin"/>
          <w:b/>
          <w:bCs/>
          <w:color w:val="538135" w:themeColor="accent6" w:themeShade="BF"/>
          <w:sz w:val="24"/>
          <w:szCs w:val="24"/>
          <w:rtl/>
          <w:lang w:bidi="fa-IR"/>
        </w:rPr>
      </w:pPr>
      <w:r>
        <w:rPr>
          <w:rFonts w:cs="B Nazanin"/>
          <w:b/>
          <w:bCs/>
          <w:color w:val="538135" w:themeColor="accent6" w:themeShade="BF"/>
          <w:sz w:val="24"/>
          <w:szCs w:val="24"/>
          <w:rtl/>
          <w:lang w:bidi="fa-IR"/>
        </w:rPr>
        <w:br w:type="page"/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lastRenderedPageBreak/>
        <w:t>فرصت تدریس به کارکنان شایسته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به کارمندان خود اجازه دهید معلم و مربی همکاران جوان تر و کم تجربه تر از خود باشند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تدریس کردن در کلاس ها و برنامه های اموزشی سازمان تان را به یک اعتبار و افتخار تبدیل کنید که فقط در اختیار کارکنان شایسته باشد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آموزش کارکنان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به کارکنان خود فرصت های آموزش خوب و مطلوب را فراهم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اجازه دهید در برنامه ریزی آموزشی خودشان حضور و مشارکت موثر داشته باشند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آموزش یعنی کسب دانش و مهارت های جدید که این مهم ارزش و اعتبار آنها و نیازشان به رشد و پیشرفت را فراهم می کند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حذف کارهای روتین و ساده از شرح وظایف کارمندان: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سعی کنید به تدریج کارهای روتین و ساده را از شرح وظایف کارکنان شایسته حذف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و ان ها را درگیر فعالیت های طراحی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برنامه ریزی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نظارت و بهبود کنید که ماهیت تخصصی تر دارند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اختصاص عناوین شغلی جذاب و معتبر به کارکنان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تغییر عنوان شغلی به ویژه اگر با تغییر و توسعه محتوایی هم همراه باشد نوعی پیشرفت تلقی می شود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ارزیابی مافوق توسط کارمندان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به کارکنان خود اجازه دهید مافوقشان را ارزیابی نمایند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از ان ها نظرسنجی کنید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نظرات آن ها را بشنوید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بپذیرید و به کار ببرید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افرادی که مورد مشورت قرار می گیرند و رای می دهند احساس اهمیت و رضایت و پیشرفت بیشتری می نمایند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numPr>
          <w:ilvl w:val="0"/>
          <w:numId w:val="36"/>
        </w:numPr>
        <w:bidi/>
        <w:spacing w:after="0" w:line="276" w:lineRule="auto"/>
        <w:ind w:left="254" w:right="426" w:firstLine="0"/>
        <w:jc w:val="lowKashida"/>
        <w:rPr>
          <w:rFonts w:cs="B Nazanin"/>
          <w:b/>
          <w:bCs/>
          <w:color w:val="538135" w:themeColor="accent6" w:themeShade="BF"/>
          <w:sz w:val="24"/>
          <w:szCs w:val="24"/>
          <w:lang w:bidi="fa-IR"/>
        </w:rPr>
      </w:pPr>
      <w:r w:rsidRPr="00F86962">
        <w:rPr>
          <w:rFonts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اختصاص امکانات نمادین :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برخی امکانات نمادین مثل اتاق کار مستقل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پارکینگ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سخت افزار یا نرم افزارهای خاص برای کارکنانی که شایسته هستند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و می خواهند فرصت و احساس رشد و پیشرفت داشته باشند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و سرانجام از این نکته مهم غافل نشوید که پول محرک و شاخص مهمی است و افراد زیادی هستند که آن را نشانه رشد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پیشرفت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>جایگاه و اعتبار سازمانی خود تلقی می کنند</w:t>
      </w:r>
      <w:r w:rsidR="00B44103" w:rsidRPr="00F8696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E1540E" w:rsidRPr="00F86962" w:rsidRDefault="00E1540E" w:rsidP="00F86962">
      <w:pPr>
        <w:pBdr>
          <w:bottom w:val="single" w:sz="6" w:space="1" w:color="auto"/>
        </w:pBdr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54AB1" w:rsidRPr="00F86962" w:rsidRDefault="00D54AB1" w:rsidP="00D54AB1">
      <w:pPr>
        <w:tabs>
          <w:tab w:val="left" w:pos="7035"/>
        </w:tabs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</w:p>
    <w:p w:rsidR="00D54AB1" w:rsidRDefault="00D54AB1" w:rsidP="00D54AB1">
      <w:pPr>
        <w:bidi/>
        <w:jc w:val="lowKashida"/>
        <w:rPr>
          <w:rFonts w:ascii="Times New Roman" w:hAnsi="Times New Roma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منبع :</w:t>
      </w:r>
    </w:p>
    <w:p w:rsidR="00D54AB1" w:rsidRDefault="00D54AB1" w:rsidP="00D54AB1">
      <w:pPr>
        <w:bidi/>
        <w:rPr>
          <w:rFonts w:ascii="Arial" w:hAnsi="Arial" w:cs="Arial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کلینیک مدیریت منابع انسانی </w:t>
      </w:r>
      <w:r>
        <w:rPr>
          <w:rFonts w:ascii="Sakkal Majalla" w:hAnsi="Sakkal Majalla" w:cs="Sakkal Majalla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دکتر بهزاد ابوالعلایی- ص 171-174</w:t>
      </w:r>
    </w:p>
    <w:p w:rsidR="00F86962" w:rsidRPr="00F86962" w:rsidRDefault="00F86962" w:rsidP="00F86962">
      <w:pPr>
        <w:tabs>
          <w:tab w:val="left" w:pos="7035"/>
        </w:tabs>
        <w:bidi/>
        <w:spacing w:after="0" w:line="276" w:lineRule="auto"/>
        <w:ind w:left="254" w:right="426"/>
        <w:jc w:val="lowKashida"/>
        <w:rPr>
          <w:rFonts w:cs="B Nazanin"/>
          <w:color w:val="000000" w:themeColor="text1"/>
          <w:sz w:val="24"/>
          <w:szCs w:val="24"/>
          <w:lang w:bidi="fa-IR"/>
        </w:rPr>
      </w:pPr>
    </w:p>
    <w:sectPr w:rsidR="00F86962" w:rsidRPr="00F86962" w:rsidSect="00111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504" w:bottom="79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A" w:rsidRDefault="006A06FA" w:rsidP="00F23E39">
      <w:pPr>
        <w:spacing w:after="0" w:line="240" w:lineRule="auto"/>
      </w:pPr>
      <w:r>
        <w:separator/>
      </w:r>
    </w:p>
  </w:endnote>
  <w:endnote w:type="continuationSeparator" w:id="0">
    <w:p w:rsidR="006A06FA" w:rsidRDefault="006A06FA" w:rsidP="00F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A" w:rsidRDefault="006A06FA" w:rsidP="00F23E39">
      <w:pPr>
        <w:spacing w:after="0" w:line="240" w:lineRule="auto"/>
      </w:pPr>
      <w:r>
        <w:separator/>
      </w:r>
    </w:p>
  </w:footnote>
  <w:footnote w:type="continuationSeparator" w:id="0">
    <w:p w:rsidR="006A06FA" w:rsidRDefault="006A06FA" w:rsidP="00F2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6A06F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6A06F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6A06FA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3477A"/>
    <w:multiLevelType w:val="hybridMultilevel"/>
    <w:tmpl w:val="E43A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35FD6"/>
    <w:multiLevelType w:val="hybridMultilevel"/>
    <w:tmpl w:val="9484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F6772"/>
    <w:multiLevelType w:val="hybridMultilevel"/>
    <w:tmpl w:val="79DC76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A62631"/>
    <w:multiLevelType w:val="hybridMultilevel"/>
    <w:tmpl w:val="BDC49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C13DE"/>
    <w:multiLevelType w:val="hybridMultilevel"/>
    <w:tmpl w:val="D862D5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41205"/>
    <w:multiLevelType w:val="hybridMultilevel"/>
    <w:tmpl w:val="4FE4762E"/>
    <w:lvl w:ilvl="0" w:tplc="73E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D4116"/>
    <w:multiLevelType w:val="hybridMultilevel"/>
    <w:tmpl w:val="AC84DEEC"/>
    <w:lvl w:ilvl="0" w:tplc="18387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66784"/>
    <w:multiLevelType w:val="hybridMultilevel"/>
    <w:tmpl w:val="6DD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01CA9"/>
    <w:multiLevelType w:val="hybridMultilevel"/>
    <w:tmpl w:val="73366A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441A"/>
    <w:multiLevelType w:val="hybridMultilevel"/>
    <w:tmpl w:val="F4982D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215F13"/>
    <w:multiLevelType w:val="hybridMultilevel"/>
    <w:tmpl w:val="3AFC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C49FC"/>
    <w:multiLevelType w:val="hybridMultilevel"/>
    <w:tmpl w:val="30D60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746D6"/>
    <w:multiLevelType w:val="hybridMultilevel"/>
    <w:tmpl w:val="BD700098"/>
    <w:lvl w:ilvl="0" w:tplc="0DDCEE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F6224"/>
    <w:multiLevelType w:val="hybridMultilevel"/>
    <w:tmpl w:val="FA4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23FA7"/>
    <w:multiLevelType w:val="hybridMultilevel"/>
    <w:tmpl w:val="B7DE6330"/>
    <w:lvl w:ilvl="0" w:tplc="96BE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11362"/>
    <w:multiLevelType w:val="hybridMultilevel"/>
    <w:tmpl w:val="9252E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441846"/>
    <w:multiLevelType w:val="hybridMultilevel"/>
    <w:tmpl w:val="B3728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050DA1"/>
    <w:multiLevelType w:val="hybridMultilevel"/>
    <w:tmpl w:val="0B6EF1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1C7D69"/>
    <w:multiLevelType w:val="hybridMultilevel"/>
    <w:tmpl w:val="E7B8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E2DD1"/>
    <w:multiLevelType w:val="hybridMultilevel"/>
    <w:tmpl w:val="F62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5AD7"/>
    <w:multiLevelType w:val="hybridMultilevel"/>
    <w:tmpl w:val="98486ED2"/>
    <w:lvl w:ilvl="0" w:tplc="EE8C00D0">
      <w:start w:val="1"/>
      <w:numFmt w:val="bullet"/>
      <w:lvlText w:val=""/>
      <w:lvlJc w:val="left"/>
      <w:pPr>
        <w:ind w:left="-22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607" w:hanging="360"/>
      </w:pPr>
      <w:rPr>
        <w:rFonts w:ascii="Wingdings" w:hAnsi="Wingdings" w:hint="default"/>
      </w:rPr>
    </w:lvl>
  </w:abstractNum>
  <w:abstractNum w:abstractNumId="33">
    <w:nsid w:val="73FE1CD2"/>
    <w:multiLevelType w:val="hybridMultilevel"/>
    <w:tmpl w:val="AF363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A4982"/>
    <w:multiLevelType w:val="hybridMultilevel"/>
    <w:tmpl w:val="C78617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05737"/>
    <w:multiLevelType w:val="hybridMultilevel"/>
    <w:tmpl w:val="765E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7"/>
  </w:num>
  <w:num w:numId="14">
    <w:abstractNumId w:val="18"/>
  </w:num>
  <w:num w:numId="15">
    <w:abstractNumId w:val="25"/>
  </w:num>
  <w:num w:numId="16">
    <w:abstractNumId w:val="13"/>
  </w:num>
  <w:num w:numId="17">
    <w:abstractNumId w:val="32"/>
  </w:num>
  <w:num w:numId="18">
    <w:abstractNumId w:val="16"/>
  </w:num>
  <w:num w:numId="19">
    <w:abstractNumId w:val="30"/>
  </w:num>
  <w:num w:numId="20">
    <w:abstractNumId w:val="35"/>
  </w:num>
  <w:num w:numId="21">
    <w:abstractNumId w:val="14"/>
  </w:num>
  <w:num w:numId="22">
    <w:abstractNumId w:val="21"/>
  </w:num>
  <w:num w:numId="23">
    <w:abstractNumId w:val="33"/>
  </w:num>
  <w:num w:numId="24">
    <w:abstractNumId w:val="24"/>
  </w:num>
  <w:num w:numId="25">
    <w:abstractNumId w:val="15"/>
  </w:num>
  <w:num w:numId="26">
    <w:abstractNumId w:val="26"/>
  </w:num>
  <w:num w:numId="27">
    <w:abstractNumId w:val="28"/>
  </w:num>
  <w:num w:numId="28">
    <w:abstractNumId w:val="10"/>
  </w:num>
  <w:num w:numId="29">
    <w:abstractNumId w:val="27"/>
  </w:num>
  <w:num w:numId="30">
    <w:abstractNumId w:val="23"/>
  </w:num>
  <w:num w:numId="31">
    <w:abstractNumId w:val="20"/>
  </w:num>
  <w:num w:numId="32">
    <w:abstractNumId w:val="12"/>
  </w:num>
  <w:num w:numId="33">
    <w:abstractNumId w:val="11"/>
  </w:num>
  <w:num w:numId="34">
    <w:abstractNumId w:val="29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01886"/>
    <w:rsid w:val="0002591C"/>
    <w:rsid w:val="0002758F"/>
    <w:rsid w:val="00035557"/>
    <w:rsid w:val="00100118"/>
    <w:rsid w:val="00111982"/>
    <w:rsid w:val="00114462"/>
    <w:rsid w:val="00127E92"/>
    <w:rsid w:val="0013524F"/>
    <w:rsid w:val="00157667"/>
    <w:rsid w:val="00164D7A"/>
    <w:rsid w:val="00171135"/>
    <w:rsid w:val="001C1D02"/>
    <w:rsid w:val="00276F9D"/>
    <w:rsid w:val="002E3A63"/>
    <w:rsid w:val="002F41F2"/>
    <w:rsid w:val="00347A70"/>
    <w:rsid w:val="00356797"/>
    <w:rsid w:val="003719BA"/>
    <w:rsid w:val="00394C6D"/>
    <w:rsid w:val="003B1B80"/>
    <w:rsid w:val="003C25B4"/>
    <w:rsid w:val="003F0510"/>
    <w:rsid w:val="003F1496"/>
    <w:rsid w:val="00445D4C"/>
    <w:rsid w:val="00451B05"/>
    <w:rsid w:val="00466944"/>
    <w:rsid w:val="00493143"/>
    <w:rsid w:val="004A0993"/>
    <w:rsid w:val="004C714E"/>
    <w:rsid w:val="004E416B"/>
    <w:rsid w:val="00524EE3"/>
    <w:rsid w:val="005361FE"/>
    <w:rsid w:val="00594DD4"/>
    <w:rsid w:val="00656421"/>
    <w:rsid w:val="00690B69"/>
    <w:rsid w:val="006A06FA"/>
    <w:rsid w:val="006C3E43"/>
    <w:rsid w:val="006E3DA7"/>
    <w:rsid w:val="00710CD8"/>
    <w:rsid w:val="00711945"/>
    <w:rsid w:val="0072063A"/>
    <w:rsid w:val="00794726"/>
    <w:rsid w:val="007D2B32"/>
    <w:rsid w:val="007D308B"/>
    <w:rsid w:val="00821D4B"/>
    <w:rsid w:val="00891FB0"/>
    <w:rsid w:val="00893E97"/>
    <w:rsid w:val="008D1F36"/>
    <w:rsid w:val="008D4B10"/>
    <w:rsid w:val="008E443A"/>
    <w:rsid w:val="00901685"/>
    <w:rsid w:val="00923633"/>
    <w:rsid w:val="009318C9"/>
    <w:rsid w:val="009957F7"/>
    <w:rsid w:val="009A052E"/>
    <w:rsid w:val="00A10685"/>
    <w:rsid w:val="00A10840"/>
    <w:rsid w:val="00A178BC"/>
    <w:rsid w:val="00A749A8"/>
    <w:rsid w:val="00A82A44"/>
    <w:rsid w:val="00AE4A0C"/>
    <w:rsid w:val="00B23BBA"/>
    <w:rsid w:val="00B44103"/>
    <w:rsid w:val="00B445FA"/>
    <w:rsid w:val="00B625F4"/>
    <w:rsid w:val="00BD4B33"/>
    <w:rsid w:val="00BE2339"/>
    <w:rsid w:val="00C23F85"/>
    <w:rsid w:val="00C46EDE"/>
    <w:rsid w:val="00CC67B0"/>
    <w:rsid w:val="00D3116E"/>
    <w:rsid w:val="00D54AB1"/>
    <w:rsid w:val="00D5745B"/>
    <w:rsid w:val="00D804DA"/>
    <w:rsid w:val="00DA1329"/>
    <w:rsid w:val="00E1540E"/>
    <w:rsid w:val="00E16EAB"/>
    <w:rsid w:val="00E224B3"/>
    <w:rsid w:val="00E2786B"/>
    <w:rsid w:val="00EC4A0B"/>
    <w:rsid w:val="00F23E39"/>
    <w:rsid w:val="00F31FAE"/>
    <w:rsid w:val="00F40331"/>
    <w:rsid w:val="00F57802"/>
    <w:rsid w:val="00F7332E"/>
    <w:rsid w:val="00F86962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1540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103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1540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103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A49A-536D-4BEC-BFE1-85BAC7A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48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17</cp:revision>
  <dcterms:created xsi:type="dcterms:W3CDTF">2019-01-23T10:06:00Z</dcterms:created>
  <dcterms:modified xsi:type="dcterms:W3CDTF">2019-04-23T06:41:00Z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